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4D0717" w:rsidRDefault="002D5115" w:rsidP="004D0717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4D0717" w:rsidRDefault="004D0717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4D0717" w:rsidRDefault="004D0717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Default="00BD570C" w:rsidP="004D0717">
      <w:pPr>
        <w:pStyle w:val="a3"/>
        <w:tabs>
          <w:tab w:val="left" w:pos="7860"/>
        </w:tabs>
        <w:spacing w:line="1" w:lineRule="atLeast"/>
        <w:rPr>
          <w:sz w:val="28"/>
          <w:szCs w:val="28"/>
        </w:rPr>
      </w:pPr>
      <w:r w:rsidRPr="00BD570C">
        <w:rPr>
          <w:sz w:val="28"/>
          <w:szCs w:val="28"/>
          <w:u w:val="single"/>
        </w:rPr>
        <w:t>09.08.2019</w:t>
      </w:r>
      <w:r w:rsidR="004D071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D570C">
        <w:rPr>
          <w:sz w:val="28"/>
          <w:szCs w:val="28"/>
          <w:u w:val="single"/>
        </w:rPr>
        <w:t>№ 427-п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1375FD" w:rsidRDefault="001375FD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Об утверждении аукционной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662E45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717A09" w:rsidRDefault="00717A09" w:rsidP="00D7632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– </w:t>
      </w:r>
      <w:r w:rsidR="00013085">
        <w:rPr>
          <w:sz w:val="28"/>
          <w:szCs w:val="28"/>
        </w:rPr>
        <w:t>Грузовой самосвал ГАЗ 33073</w:t>
      </w:r>
      <w:r w:rsidR="003D255F">
        <w:rPr>
          <w:sz w:val="28"/>
          <w:szCs w:val="28"/>
        </w:rPr>
        <w:t xml:space="preserve">, год выпуска ТС </w:t>
      </w:r>
      <w:r w:rsidR="00F72AA2">
        <w:rPr>
          <w:sz w:val="28"/>
          <w:szCs w:val="28"/>
        </w:rPr>
        <w:t>1995</w:t>
      </w:r>
      <w:r w:rsidR="003D255F">
        <w:rPr>
          <w:sz w:val="28"/>
          <w:szCs w:val="28"/>
        </w:rPr>
        <w:t xml:space="preserve">, шасси (рама) № </w:t>
      </w:r>
      <w:r w:rsidR="00013085">
        <w:rPr>
          <w:sz w:val="28"/>
          <w:szCs w:val="28"/>
        </w:rPr>
        <w:t>1611303</w:t>
      </w:r>
      <w:r w:rsidR="003D255F">
        <w:rPr>
          <w:sz w:val="28"/>
          <w:szCs w:val="28"/>
        </w:rPr>
        <w:t xml:space="preserve">, цвет кузова – </w:t>
      </w:r>
      <w:r w:rsidR="00013085">
        <w:rPr>
          <w:sz w:val="28"/>
          <w:szCs w:val="28"/>
        </w:rPr>
        <w:t>зелёный</w:t>
      </w:r>
      <w:r w:rsidR="003D255F">
        <w:rPr>
          <w:sz w:val="28"/>
          <w:szCs w:val="28"/>
        </w:rPr>
        <w:t xml:space="preserve">, </w:t>
      </w:r>
      <w:r w:rsidR="00C3163C">
        <w:rPr>
          <w:sz w:val="28"/>
          <w:szCs w:val="28"/>
        </w:rPr>
        <w:t>№</w:t>
      </w:r>
      <w:r w:rsidR="003D255F">
        <w:rPr>
          <w:sz w:val="28"/>
          <w:szCs w:val="28"/>
        </w:rPr>
        <w:t xml:space="preserve"> двигателя </w:t>
      </w:r>
      <w:r w:rsidR="001375FD">
        <w:rPr>
          <w:sz w:val="28"/>
          <w:szCs w:val="28"/>
        </w:rPr>
        <w:t>511 0005759</w:t>
      </w:r>
      <w:r w:rsidR="003D255F">
        <w:rPr>
          <w:sz w:val="28"/>
          <w:szCs w:val="28"/>
        </w:rPr>
        <w:t xml:space="preserve">, </w:t>
      </w:r>
      <w:r w:rsidR="00954DF3">
        <w:rPr>
          <w:sz w:val="28"/>
          <w:szCs w:val="28"/>
        </w:rPr>
        <w:t xml:space="preserve">государственный регистрационный </w:t>
      </w:r>
      <w:r w:rsidR="003D255F">
        <w:rPr>
          <w:sz w:val="28"/>
          <w:szCs w:val="28"/>
        </w:rPr>
        <w:t xml:space="preserve"> </w:t>
      </w:r>
      <w:r w:rsidR="004740D4">
        <w:rPr>
          <w:sz w:val="28"/>
          <w:szCs w:val="28"/>
        </w:rPr>
        <w:t xml:space="preserve">знак </w:t>
      </w:r>
      <w:r w:rsidR="00F40406">
        <w:rPr>
          <w:sz w:val="28"/>
          <w:szCs w:val="28"/>
        </w:rPr>
        <w:t>М498ОВ</w:t>
      </w:r>
      <w:r w:rsidR="00013085">
        <w:rPr>
          <w:sz w:val="28"/>
          <w:szCs w:val="28"/>
        </w:rPr>
        <w:t>124</w:t>
      </w:r>
      <w:r w:rsidR="009620EE" w:rsidRPr="009620EE">
        <w:rPr>
          <w:sz w:val="26"/>
          <w:szCs w:val="26"/>
        </w:rPr>
        <w:t xml:space="preserve"> </w:t>
      </w:r>
      <w:r w:rsidR="009620EE" w:rsidRPr="009620EE">
        <w:rPr>
          <w:sz w:val="28"/>
          <w:szCs w:val="28"/>
        </w:rPr>
        <w:t xml:space="preserve">от </w:t>
      </w:r>
      <w:r w:rsidR="00013085">
        <w:rPr>
          <w:sz w:val="28"/>
          <w:szCs w:val="28"/>
        </w:rPr>
        <w:t>25.01.2019 г.</w:t>
      </w:r>
      <w:r w:rsidR="004740D4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662E45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оперативному управлению (А.Г.Захаров).</w:t>
      </w:r>
    </w:p>
    <w:p w:rsidR="00662E45" w:rsidRDefault="00662E45" w:rsidP="00662E45">
      <w:pPr>
        <w:pStyle w:val="a9"/>
        <w:spacing w:before="0" w:beforeAutospacing="0" w:after="0" w:afterAutospacing="0" w:line="1" w:lineRule="atLeast"/>
        <w:jc w:val="both"/>
        <w:rPr>
          <w:sz w:val="28"/>
          <w:szCs w:val="28"/>
        </w:rPr>
      </w:pPr>
    </w:p>
    <w:p w:rsidR="00662E45" w:rsidRDefault="00662E45" w:rsidP="00662E45">
      <w:pPr>
        <w:pStyle w:val="a9"/>
        <w:spacing w:before="0" w:beforeAutospacing="0" w:after="0" w:afterAutospacing="0" w:line="1" w:lineRule="atLeast"/>
        <w:jc w:val="both"/>
        <w:rPr>
          <w:sz w:val="28"/>
          <w:szCs w:val="28"/>
        </w:rPr>
      </w:pPr>
    </w:p>
    <w:p w:rsidR="00662E45" w:rsidRPr="006F0F0C" w:rsidRDefault="00662E45" w:rsidP="00662E45">
      <w:pPr>
        <w:pStyle w:val="a9"/>
        <w:spacing w:before="0" w:beforeAutospacing="0" w:after="0" w:afterAutospacing="0" w:line="1" w:lineRule="atLeast"/>
        <w:jc w:val="both"/>
        <w:rPr>
          <w:b/>
          <w:sz w:val="28"/>
          <w:szCs w:val="28"/>
        </w:rPr>
      </w:pP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EB53FF" w:rsidRDefault="003A151C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662E45">
        <w:rPr>
          <w:sz w:val="28"/>
          <w:szCs w:val="28"/>
        </w:rPr>
        <w:t>ервый заместитель</w:t>
      </w:r>
      <w:r w:rsidR="00605856">
        <w:rPr>
          <w:sz w:val="28"/>
          <w:szCs w:val="28"/>
        </w:rPr>
        <w:t xml:space="preserve">  главы</w:t>
      </w:r>
      <w:r>
        <w:rPr>
          <w:sz w:val="28"/>
          <w:szCs w:val="28"/>
        </w:rPr>
        <w:t xml:space="preserve"> района</w:t>
      </w:r>
      <w:r w:rsidR="00EB53FF">
        <w:rPr>
          <w:sz w:val="28"/>
          <w:szCs w:val="28"/>
        </w:rPr>
        <w:t>-</w:t>
      </w:r>
    </w:p>
    <w:p w:rsidR="00FF466A" w:rsidRDefault="003A151C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  <w:r w:rsidR="00FF466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AC373D" w:rsidRDefault="003A151C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  <w:r w:rsidR="00AC373D">
        <w:rPr>
          <w:sz w:val="28"/>
          <w:szCs w:val="28"/>
        </w:rPr>
        <w:t xml:space="preserve">           </w:t>
      </w:r>
      <w:r w:rsidR="003D25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В.А. </w:t>
      </w:r>
      <w:r w:rsidR="00605856">
        <w:rPr>
          <w:sz w:val="28"/>
          <w:szCs w:val="28"/>
        </w:rPr>
        <w:t>Чудаков</w:t>
      </w:r>
    </w:p>
    <w:p w:rsidR="00844272" w:rsidRDefault="00844272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954DF3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09.08.2019  </w:t>
      </w:r>
      <w:r w:rsidRPr="00875B75">
        <w:rPr>
          <w:sz w:val="28"/>
          <w:szCs w:val="28"/>
        </w:rPr>
        <w:t>№</w:t>
      </w:r>
      <w:r w:rsidR="00BD570C">
        <w:rPr>
          <w:sz w:val="28"/>
          <w:szCs w:val="28"/>
        </w:rPr>
        <w:t xml:space="preserve"> 427-</w:t>
      </w:r>
      <w:r w:rsidR="00844272" w:rsidRPr="00875B75">
        <w:rPr>
          <w:sz w:val="28"/>
          <w:szCs w:val="28"/>
        </w:rPr>
        <w:t>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B62231" w:rsidRDefault="00B62231" w:rsidP="00170BB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>заместитель главы района по оперативному управлению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C3163C" w:rsidRDefault="00954DF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Жмакова О.О</w:t>
            </w:r>
            <w:r w:rsidR="00C3163C" w:rsidRPr="00C3163C">
              <w:rPr>
                <w:color w:val="000000" w:themeColor="text1"/>
                <w:sz w:val="28"/>
                <w:szCs w:val="28"/>
              </w:rPr>
              <w:t>.</w:t>
            </w:r>
            <w:r w:rsidR="00B62231" w:rsidRPr="00C316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62231" w:rsidRDefault="00B62231" w:rsidP="00954D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954DF3">
              <w:rPr>
                <w:sz w:val="28"/>
                <w:szCs w:val="28"/>
              </w:rPr>
              <w:t>имущественным</w:t>
            </w:r>
            <w:r w:rsidR="00C3163C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740D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Е.И.</w:t>
            </w:r>
          </w:p>
        </w:tc>
        <w:tc>
          <w:tcPr>
            <w:tcW w:w="4785" w:type="dxa"/>
          </w:tcPr>
          <w:p w:rsidR="00B62231" w:rsidRDefault="00B62231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юрист </w:t>
            </w:r>
            <w:r w:rsidR="008B4310">
              <w:rPr>
                <w:sz w:val="28"/>
                <w:szCs w:val="28"/>
              </w:rPr>
              <w:t xml:space="preserve">организационно-правового отдела </w:t>
            </w:r>
            <w:r w:rsidR="003D255F">
              <w:rPr>
                <w:sz w:val="28"/>
                <w:szCs w:val="28"/>
              </w:rPr>
              <w:t xml:space="preserve"> администрации Саянского района </w:t>
            </w:r>
            <w:r>
              <w:rPr>
                <w:sz w:val="28"/>
                <w:szCs w:val="28"/>
              </w:rPr>
              <w:t>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C3163C" w:rsidRDefault="00C3163C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09.08.2019 </w:t>
      </w:r>
      <w:r w:rsidRPr="00875B75">
        <w:rPr>
          <w:sz w:val="28"/>
          <w:szCs w:val="28"/>
        </w:rPr>
        <w:t xml:space="preserve"> № </w:t>
      </w:r>
      <w:r w:rsidR="00BD570C">
        <w:rPr>
          <w:sz w:val="28"/>
          <w:szCs w:val="28"/>
        </w:rPr>
        <w:t>427-</w:t>
      </w:r>
      <w:r w:rsidR="00844272" w:rsidRPr="00875B75">
        <w:rPr>
          <w:sz w:val="28"/>
          <w:szCs w:val="28"/>
        </w:rPr>
        <w:t>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Горькавая Наталья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Наталья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Имущество подлежащее приватизации:</w:t>
      </w:r>
    </w:p>
    <w:p w:rsidR="00FF6DB8" w:rsidRPr="00FF6DB8" w:rsidRDefault="00BA2D71" w:rsidP="00FF6DB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 w:rsidR="00D7632F">
        <w:rPr>
          <w:sz w:val="26"/>
          <w:szCs w:val="26"/>
        </w:rPr>
        <w:t xml:space="preserve"> </w:t>
      </w:r>
      <w:r w:rsidR="0089067B">
        <w:rPr>
          <w:sz w:val="26"/>
          <w:szCs w:val="26"/>
        </w:rPr>
        <w:t>ГАЗ</w:t>
      </w:r>
      <w:r w:rsidR="00FF6DB8" w:rsidRPr="00FF6DB8">
        <w:rPr>
          <w:sz w:val="26"/>
          <w:szCs w:val="26"/>
        </w:rPr>
        <w:t xml:space="preserve"> </w:t>
      </w:r>
      <w:r w:rsidR="0089067B">
        <w:rPr>
          <w:sz w:val="26"/>
          <w:szCs w:val="26"/>
        </w:rPr>
        <w:t>33073</w:t>
      </w:r>
      <w:r w:rsidR="00FF6DB8" w:rsidRPr="00FF6DB8">
        <w:rPr>
          <w:sz w:val="26"/>
          <w:szCs w:val="26"/>
        </w:rPr>
        <w:t xml:space="preserve">, год выпуска ТС </w:t>
      </w:r>
      <w:r w:rsidR="004740D4">
        <w:rPr>
          <w:sz w:val="26"/>
          <w:szCs w:val="26"/>
        </w:rPr>
        <w:t>1995</w:t>
      </w:r>
      <w:r w:rsidR="00FF6DB8" w:rsidRPr="00FF6DB8">
        <w:rPr>
          <w:sz w:val="26"/>
          <w:szCs w:val="26"/>
        </w:rPr>
        <w:t>, шасси (рама) №</w:t>
      </w:r>
      <w:r w:rsidR="0089067B">
        <w:rPr>
          <w:sz w:val="26"/>
          <w:szCs w:val="26"/>
        </w:rPr>
        <w:t>1611303</w:t>
      </w:r>
      <w:r w:rsidR="00FF6DB8" w:rsidRPr="00FF6DB8">
        <w:rPr>
          <w:sz w:val="26"/>
          <w:szCs w:val="26"/>
        </w:rPr>
        <w:t xml:space="preserve">, цвет кузова – </w:t>
      </w:r>
      <w:r w:rsidR="0089067B">
        <w:rPr>
          <w:sz w:val="26"/>
          <w:szCs w:val="26"/>
        </w:rPr>
        <w:t>зеленый</w:t>
      </w:r>
      <w:r w:rsidR="00FF6DB8" w:rsidRPr="00FF6DB8">
        <w:rPr>
          <w:sz w:val="26"/>
          <w:szCs w:val="26"/>
        </w:rPr>
        <w:t xml:space="preserve">, </w:t>
      </w:r>
      <w:r w:rsidR="00C3163C" w:rsidRPr="00C3163C">
        <w:rPr>
          <w:sz w:val="26"/>
          <w:szCs w:val="26"/>
        </w:rPr>
        <w:t xml:space="preserve">№ двигателя </w:t>
      </w:r>
      <w:r w:rsidR="0089067B">
        <w:rPr>
          <w:sz w:val="26"/>
          <w:szCs w:val="26"/>
        </w:rPr>
        <w:t>511 0005759</w:t>
      </w:r>
      <w:r w:rsidR="00FF6DB8" w:rsidRPr="00FF6DB8">
        <w:rPr>
          <w:sz w:val="26"/>
          <w:szCs w:val="26"/>
        </w:rPr>
        <w:t>, гос</w:t>
      </w:r>
      <w:r w:rsidR="00016E6A">
        <w:rPr>
          <w:sz w:val="26"/>
          <w:szCs w:val="26"/>
        </w:rPr>
        <w:t xml:space="preserve">ударственный регистрационный знак </w:t>
      </w:r>
      <w:r w:rsidR="00FF6DB8" w:rsidRPr="00FF6DB8">
        <w:rPr>
          <w:sz w:val="26"/>
          <w:szCs w:val="26"/>
        </w:rPr>
        <w:t xml:space="preserve"> </w:t>
      </w:r>
      <w:r w:rsidR="00FC5376">
        <w:rPr>
          <w:sz w:val="26"/>
          <w:szCs w:val="26"/>
        </w:rPr>
        <w:t>М498ОВ124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4C2C2B">
        <w:rPr>
          <w:sz w:val="26"/>
          <w:szCs w:val="26"/>
        </w:rPr>
        <w:t>144000</w:t>
      </w:r>
      <w:r w:rsidR="00FF6DB8">
        <w:rPr>
          <w:sz w:val="26"/>
          <w:szCs w:val="26"/>
        </w:rPr>
        <w:t xml:space="preserve"> рублей </w:t>
      </w:r>
      <w:r w:rsidRPr="00D22E1B">
        <w:rPr>
          <w:b/>
          <w:sz w:val="26"/>
          <w:szCs w:val="26"/>
        </w:rPr>
        <w:t>(</w:t>
      </w:r>
      <w:r w:rsidR="004C2C2B">
        <w:rPr>
          <w:sz w:val="26"/>
          <w:szCs w:val="26"/>
        </w:rPr>
        <w:t xml:space="preserve">сто сорок четыре тысячи </w:t>
      </w:r>
      <w:r w:rsidR="004740D4">
        <w:rPr>
          <w:sz w:val="26"/>
          <w:szCs w:val="26"/>
        </w:rPr>
        <w:t>рублей</w:t>
      </w:r>
      <w:r w:rsidR="00FF6DB8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) 00 коп.;</w:t>
      </w:r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4C2C2B">
        <w:rPr>
          <w:sz w:val="26"/>
          <w:szCs w:val="26"/>
        </w:rPr>
        <w:t>7200</w:t>
      </w:r>
      <w:r w:rsidRPr="00D22E1B">
        <w:rPr>
          <w:sz w:val="26"/>
          <w:szCs w:val="26"/>
        </w:rPr>
        <w:t xml:space="preserve"> (</w:t>
      </w:r>
      <w:r w:rsidR="004C2C2B">
        <w:rPr>
          <w:sz w:val="26"/>
          <w:szCs w:val="26"/>
        </w:rPr>
        <w:t>семь тысяч двести</w:t>
      </w:r>
      <w:r w:rsidR="0076151C">
        <w:rPr>
          <w:sz w:val="26"/>
          <w:szCs w:val="26"/>
        </w:rPr>
        <w:t xml:space="preserve"> </w:t>
      </w:r>
      <w:r w:rsidR="00FF6DB8">
        <w:rPr>
          <w:sz w:val="26"/>
          <w:szCs w:val="26"/>
        </w:rPr>
        <w:t xml:space="preserve"> рублей) </w:t>
      </w:r>
      <w:r w:rsidRPr="00D22E1B">
        <w:rPr>
          <w:sz w:val="26"/>
          <w:szCs w:val="26"/>
        </w:rPr>
        <w:t xml:space="preserve"> 00 копеек. </w:t>
      </w:r>
    </w:p>
    <w:p w:rsidR="00BA2D71" w:rsidRPr="00D22E1B" w:rsidRDefault="00FF6DB8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 w:rsidR="004C2C2B">
        <w:rPr>
          <w:sz w:val="26"/>
          <w:szCs w:val="26"/>
        </w:rPr>
        <w:t>28 800</w:t>
      </w:r>
      <w:r w:rsidR="00BA2D71"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4C2C2B">
        <w:rPr>
          <w:sz w:val="26"/>
          <w:szCs w:val="26"/>
        </w:rPr>
        <w:t>двадцать восемь тысяч восемьсот рублей</w:t>
      </w:r>
      <w:r>
        <w:rPr>
          <w:sz w:val="26"/>
          <w:szCs w:val="26"/>
        </w:rPr>
        <w:t xml:space="preserve">) 00 </w:t>
      </w:r>
      <w:r w:rsidR="00BA2D71" w:rsidRPr="00D22E1B">
        <w:rPr>
          <w:sz w:val="26"/>
          <w:szCs w:val="26"/>
        </w:rPr>
        <w:t>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5972C0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5972C0" w:rsidRPr="00AC43CA" w:rsidRDefault="005972C0" w:rsidP="005972C0">
      <w:pPr>
        <w:jc w:val="both"/>
        <w:rPr>
          <w:sz w:val="28"/>
          <w:szCs w:val="28"/>
        </w:rPr>
      </w:pPr>
      <w:r w:rsidRPr="005972C0">
        <w:rPr>
          <w:sz w:val="26"/>
          <w:szCs w:val="26"/>
        </w:rPr>
        <w:t>40302810900003000287 в отделение Красноярск г. Красноярск БИК 040407001 л/с 05193008640</w:t>
      </w:r>
      <w:r>
        <w:rPr>
          <w:sz w:val="28"/>
          <w:szCs w:val="28"/>
        </w:rPr>
        <w:t xml:space="preserve">  </w:t>
      </w: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  <w:r w:rsidR="00D7632F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 xml:space="preserve">Организатор аукциона вправе отказаться от проведения аукциона не менее,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 xml:space="preserve">ый сбор по месту приема заявок: </w:t>
      </w:r>
      <w:r w:rsidRPr="00D22E1B">
        <w:rPr>
          <w:sz w:val="26"/>
          <w:szCs w:val="26"/>
        </w:rPr>
        <w:lastRenderedPageBreak/>
        <w:t>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 w:rsidR="0017643A" w:rsidRPr="00875B75">
        <w:rPr>
          <w:bCs/>
          <w:sz w:val="26"/>
          <w:szCs w:val="26"/>
        </w:rPr>
        <w:t>09.09</w:t>
      </w:r>
      <w:r w:rsidRPr="00875B75">
        <w:rPr>
          <w:bCs/>
          <w:sz w:val="26"/>
          <w:szCs w:val="26"/>
        </w:rPr>
        <w:t>.201</w:t>
      </w:r>
      <w:r w:rsidR="0017643A" w:rsidRPr="00875B75">
        <w:rPr>
          <w:bCs/>
          <w:sz w:val="26"/>
          <w:szCs w:val="26"/>
        </w:rPr>
        <w:t>9</w:t>
      </w:r>
      <w:r w:rsidRPr="005972C0">
        <w:rPr>
          <w:bCs/>
          <w:sz w:val="26"/>
          <w:szCs w:val="26"/>
        </w:rPr>
        <w:t xml:space="preserve"> (включительно). </w:t>
      </w:r>
      <w:r w:rsidRPr="005972C0">
        <w:rPr>
          <w:sz w:val="26"/>
          <w:szCs w:val="26"/>
        </w:rPr>
        <w:t>Документом, подтверждающим внесение задатка на 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(ам) пени в размере одной сто</w:t>
      </w:r>
      <w:r w:rsidR="00F17C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17643A">
        <w:rPr>
          <w:sz w:val="26"/>
          <w:szCs w:val="26"/>
        </w:rPr>
        <w:t>11</w:t>
      </w:r>
      <w:r w:rsidR="00875B75">
        <w:rPr>
          <w:sz w:val="26"/>
          <w:szCs w:val="26"/>
        </w:rPr>
        <w:t>.09.</w:t>
      </w:r>
      <w:r w:rsidR="005972C0">
        <w:rPr>
          <w:sz w:val="26"/>
          <w:szCs w:val="26"/>
        </w:rPr>
        <w:t>2019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Pr="005972C0">
        <w:rPr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 xml:space="preserve">: Красноярский край, Саянский район, с.Агинское, ул.Советская, 151, каб.213, </w:t>
      </w:r>
      <w:r w:rsidR="0017643A" w:rsidRPr="00875B75">
        <w:rPr>
          <w:sz w:val="26"/>
          <w:szCs w:val="26"/>
        </w:rPr>
        <w:t>12</w:t>
      </w:r>
      <w:r w:rsidRPr="00875B75">
        <w:rPr>
          <w:sz w:val="26"/>
          <w:szCs w:val="26"/>
        </w:rPr>
        <w:t>.0</w:t>
      </w:r>
      <w:r w:rsidR="0017643A" w:rsidRPr="00875B75">
        <w:rPr>
          <w:sz w:val="26"/>
          <w:szCs w:val="26"/>
        </w:rPr>
        <w:t>9</w:t>
      </w:r>
      <w:r w:rsidRPr="00875B75">
        <w:rPr>
          <w:sz w:val="26"/>
          <w:szCs w:val="26"/>
        </w:rPr>
        <w:t>.2019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17643A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>
        <w:rPr>
          <w:sz w:val="26"/>
          <w:szCs w:val="26"/>
        </w:rPr>
        <w:t xml:space="preserve"> 08</w:t>
      </w:r>
      <w:r w:rsidR="00875B75">
        <w:rPr>
          <w:sz w:val="26"/>
          <w:szCs w:val="26"/>
        </w:rPr>
        <w:t>.</w:t>
      </w:r>
      <w:r w:rsidR="000F2FBE">
        <w:rPr>
          <w:sz w:val="26"/>
          <w:szCs w:val="26"/>
        </w:rPr>
        <w:t xml:space="preserve">  201</w:t>
      </w:r>
      <w:r w:rsidR="005972C0">
        <w:rPr>
          <w:sz w:val="26"/>
          <w:szCs w:val="26"/>
        </w:rPr>
        <w:t>9</w:t>
      </w:r>
      <w:r w:rsidR="000F2FBE">
        <w:rPr>
          <w:sz w:val="26"/>
          <w:szCs w:val="26"/>
        </w:rPr>
        <w:t xml:space="preserve"> </w:t>
      </w:r>
      <w:r w:rsidR="00A62986">
        <w:rPr>
          <w:sz w:val="26"/>
          <w:szCs w:val="26"/>
        </w:rPr>
        <w:t xml:space="preserve"> г. с </w:t>
      </w:r>
      <w:r w:rsidR="005972C0"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17643A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 w:rsidR="00652E0E" w:rsidRPr="00D22E1B">
        <w:rPr>
          <w:sz w:val="26"/>
          <w:szCs w:val="26"/>
        </w:rPr>
        <w:t xml:space="preserve"> </w:t>
      </w:r>
      <w:r w:rsidR="000F2FBE">
        <w:rPr>
          <w:sz w:val="26"/>
          <w:szCs w:val="26"/>
        </w:rPr>
        <w:t>201</w:t>
      </w:r>
      <w:r w:rsidR="005972C0">
        <w:rPr>
          <w:sz w:val="26"/>
          <w:szCs w:val="26"/>
        </w:rPr>
        <w:t>9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17643A"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 w:rsidR="0017643A">
        <w:rPr>
          <w:sz w:val="26"/>
          <w:szCs w:val="26"/>
        </w:rPr>
        <w:t xml:space="preserve"> 08</w:t>
      </w:r>
      <w:r w:rsidR="00875B75">
        <w:rPr>
          <w:sz w:val="26"/>
          <w:szCs w:val="26"/>
        </w:rPr>
        <w:t>.</w:t>
      </w:r>
      <w:r w:rsidR="005A4979">
        <w:rPr>
          <w:sz w:val="26"/>
          <w:szCs w:val="26"/>
        </w:rPr>
        <w:t xml:space="preserve"> 201</w:t>
      </w:r>
      <w:r w:rsidR="00D7632F">
        <w:rPr>
          <w:sz w:val="26"/>
          <w:szCs w:val="26"/>
        </w:rPr>
        <w:t>9</w:t>
      </w:r>
      <w:r w:rsidR="005A4979">
        <w:rPr>
          <w:sz w:val="26"/>
          <w:szCs w:val="26"/>
        </w:rPr>
        <w:t xml:space="preserve"> г. по </w:t>
      </w:r>
      <w:r w:rsidR="0017643A"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 w:rsidR="0017643A">
        <w:rPr>
          <w:sz w:val="26"/>
          <w:szCs w:val="26"/>
        </w:rPr>
        <w:t>09</w:t>
      </w:r>
      <w:r w:rsidR="00875B75">
        <w:rPr>
          <w:sz w:val="26"/>
          <w:szCs w:val="26"/>
        </w:rPr>
        <w:t>.</w:t>
      </w:r>
      <w:r w:rsidR="000F2FBE">
        <w:rPr>
          <w:sz w:val="26"/>
          <w:szCs w:val="26"/>
        </w:rPr>
        <w:t xml:space="preserve"> 201</w:t>
      </w:r>
      <w:r w:rsidR="00D7632F">
        <w:rPr>
          <w:sz w:val="26"/>
          <w:szCs w:val="26"/>
        </w:rPr>
        <w:t>9</w:t>
      </w:r>
      <w:r w:rsidR="00DD45D4"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lastRenderedPageBreak/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в течении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не предусмотрены. В случае,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</w:t>
      </w:r>
      <w:r w:rsidRPr="005B4573">
        <w:rPr>
          <w:sz w:val="26"/>
          <w:szCs w:val="26"/>
        </w:rPr>
        <w:lastRenderedPageBreak/>
        <w:t xml:space="preserve">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D2780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D570C">
        <w:rPr>
          <w:sz w:val="28"/>
          <w:szCs w:val="28"/>
        </w:rPr>
        <w:t xml:space="preserve">09.08.2019  </w:t>
      </w:r>
      <w:r w:rsidR="000A3F93">
        <w:rPr>
          <w:sz w:val="28"/>
          <w:szCs w:val="28"/>
        </w:rPr>
        <w:t xml:space="preserve">№ </w:t>
      </w:r>
      <w:r w:rsidR="00BD570C">
        <w:rPr>
          <w:sz w:val="28"/>
          <w:szCs w:val="28"/>
        </w:rPr>
        <w:t>427</w:t>
      </w:r>
      <w:r w:rsidR="00844272">
        <w:rPr>
          <w:sz w:val="28"/>
          <w:szCs w:val="28"/>
        </w:rPr>
        <w:t>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 w:rsidR="00875B75" w:rsidRDefault="00875B75" w:rsidP="000A3F93">
      <w:pPr>
        <w:pStyle w:val="western"/>
        <w:spacing w:after="0" w:afterAutospacing="0"/>
        <w:jc w:val="center"/>
      </w:pPr>
    </w:p>
    <w:p w:rsidR="00875B75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</w:t>
      </w:r>
    </w:p>
    <w:p w:rsidR="000A3F93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07B76">
        <w:rPr>
          <w:sz w:val="27"/>
          <w:szCs w:val="27"/>
        </w:rPr>
        <w:t xml:space="preserve">по продаже </w:t>
      </w:r>
      <w:r>
        <w:rPr>
          <w:sz w:val="27"/>
          <w:szCs w:val="27"/>
        </w:rPr>
        <w:t>движимого муниципального имущества</w:t>
      </w:r>
    </w:p>
    <w:p w:rsidR="00875B75" w:rsidRPr="00875B75" w:rsidRDefault="00875B75" w:rsidP="00875B75">
      <w:pPr>
        <w:pStyle w:val="western"/>
        <w:spacing w:after="0" w:afterAutospacing="0"/>
        <w:jc w:val="center"/>
      </w:pPr>
    </w:p>
    <w:p w:rsidR="00875B75" w:rsidRDefault="00875B75" w:rsidP="00875B7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875B75">
        <w:rPr>
          <w:sz w:val="28"/>
          <w:szCs w:val="28"/>
        </w:rPr>
        <w:t>ГАЗ 33073, год выпуска ТС 1995, шасси (рама) №1611303</w:t>
      </w:r>
      <w:r>
        <w:rPr>
          <w:sz w:val="28"/>
          <w:szCs w:val="28"/>
        </w:rPr>
        <w:t>,</w:t>
      </w:r>
    </w:p>
    <w:p w:rsidR="00875B75" w:rsidRDefault="00875B75" w:rsidP="00875B7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цвет кузова - </w:t>
      </w:r>
      <w:r w:rsidRPr="00875B75">
        <w:rPr>
          <w:sz w:val="28"/>
          <w:szCs w:val="28"/>
        </w:rPr>
        <w:t>зеленый, № двигателя 511 0005759,</w:t>
      </w:r>
    </w:p>
    <w:p w:rsidR="00875B75" w:rsidRPr="00875B75" w:rsidRDefault="00875B75" w:rsidP="00875B7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875B75">
        <w:rPr>
          <w:sz w:val="28"/>
          <w:szCs w:val="28"/>
        </w:rPr>
        <w:t>государственный регистрационный знак  М498ОВ124</w:t>
      </w:r>
      <w:r>
        <w:rPr>
          <w:sz w:val="28"/>
          <w:szCs w:val="28"/>
        </w:rPr>
        <w:t>.</w:t>
      </w:r>
    </w:p>
    <w:p w:rsidR="000A3F93" w:rsidRPr="00875B75" w:rsidRDefault="000A3F93" w:rsidP="00875B75">
      <w:pPr>
        <w:pStyle w:val="western"/>
        <w:spacing w:after="240" w:afterAutospacing="0"/>
        <w:jc w:val="both"/>
        <w:rPr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5972C0" w:rsidRDefault="005972C0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201</w:t>
      </w:r>
      <w:r w:rsidR="005972C0">
        <w:rPr>
          <w:b/>
          <w:sz w:val="26"/>
          <w:szCs w:val="26"/>
        </w:rPr>
        <w:t>9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17643A">
        <w:rPr>
          <w:i/>
          <w:sz w:val="26"/>
          <w:szCs w:val="26"/>
        </w:rPr>
        <w:t>12</w:t>
      </w:r>
      <w:r w:rsidR="00875B75">
        <w:rPr>
          <w:i/>
          <w:sz w:val="26"/>
          <w:szCs w:val="26"/>
        </w:rPr>
        <w:t>.</w:t>
      </w:r>
      <w:r w:rsidR="002E747C">
        <w:rPr>
          <w:i/>
          <w:sz w:val="26"/>
          <w:szCs w:val="26"/>
        </w:rPr>
        <w:t xml:space="preserve"> </w:t>
      </w:r>
      <w:r w:rsidR="000F2FBE">
        <w:rPr>
          <w:i/>
          <w:sz w:val="26"/>
          <w:szCs w:val="26"/>
        </w:rPr>
        <w:t xml:space="preserve"> </w:t>
      </w:r>
      <w:r w:rsidR="0017643A">
        <w:rPr>
          <w:i/>
          <w:sz w:val="26"/>
          <w:szCs w:val="26"/>
        </w:rPr>
        <w:t>09</w:t>
      </w:r>
      <w:r w:rsidR="00875B75">
        <w:rPr>
          <w:i/>
          <w:sz w:val="26"/>
          <w:szCs w:val="26"/>
        </w:rPr>
        <w:t>.</w:t>
      </w:r>
      <w:r w:rsidR="0017643A">
        <w:rPr>
          <w:i/>
          <w:sz w:val="26"/>
          <w:szCs w:val="26"/>
        </w:rPr>
        <w:t xml:space="preserve"> </w:t>
      </w:r>
      <w:r w:rsidR="000F2FBE">
        <w:rPr>
          <w:i/>
          <w:sz w:val="26"/>
          <w:szCs w:val="26"/>
        </w:rPr>
        <w:t xml:space="preserve"> 201</w:t>
      </w:r>
      <w:r w:rsidR="009620EE">
        <w:rPr>
          <w:i/>
          <w:sz w:val="26"/>
          <w:szCs w:val="26"/>
        </w:rPr>
        <w:t>9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0A3F93" w:rsidRPr="00BF3A37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Лот №1.</w:t>
      </w:r>
    </w:p>
    <w:p w:rsidR="00875B75" w:rsidRPr="00FF6DB8" w:rsidRDefault="000A3F93" w:rsidP="00875B7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20EE">
        <w:rPr>
          <w:b/>
          <w:sz w:val="26"/>
          <w:szCs w:val="26"/>
        </w:rPr>
        <w:t xml:space="preserve"> </w:t>
      </w:r>
      <w:r w:rsidR="00875B75">
        <w:rPr>
          <w:sz w:val="26"/>
          <w:szCs w:val="26"/>
        </w:rPr>
        <w:t xml:space="preserve"> ГАЗ</w:t>
      </w:r>
      <w:r w:rsidR="00875B75" w:rsidRPr="00FF6DB8">
        <w:rPr>
          <w:sz w:val="26"/>
          <w:szCs w:val="26"/>
        </w:rPr>
        <w:t xml:space="preserve"> </w:t>
      </w:r>
      <w:r w:rsidR="00875B75">
        <w:rPr>
          <w:sz w:val="26"/>
          <w:szCs w:val="26"/>
        </w:rPr>
        <w:t>33073</w:t>
      </w:r>
      <w:r w:rsidR="00875B75" w:rsidRPr="00FF6DB8">
        <w:rPr>
          <w:sz w:val="26"/>
          <w:szCs w:val="26"/>
        </w:rPr>
        <w:t xml:space="preserve">, год выпуска ТС </w:t>
      </w:r>
      <w:r w:rsidR="00875B75">
        <w:rPr>
          <w:sz w:val="26"/>
          <w:szCs w:val="26"/>
        </w:rPr>
        <w:t>1995</w:t>
      </w:r>
      <w:r w:rsidR="00875B75" w:rsidRPr="00FF6DB8">
        <w:rPr>
          <w:sz w:val="26"/>
          <w:szCs w:val="26"/>
        </w:rPr>
        <w:t>, шасси (рама) №</w:t>
      </w:r>
      <w:r w:rsidR="00875B75">
        <w:rPr>
          <w:sz w:val="26"/>
          <w:szCs w:val="26"/>
        </w:rPr>
        <w:t>1611303</w:t>
      </w:r>
      <w:r w:rsidR="00875B75" w:rsidRPr="00FF6DB8">
        <w:rPr>
          <w:sz w:val="26"/>
          <w:szCs w:val="26"/>
        </w:rPr>
        <w:t xml:space="preserve">, цвет кузова – </w:t>
      </w:r>
      <w:r w:rsidR="00875B75">
        <w:rPr>
          <w:sz w:val="26"/>
          <w:szCs w:val="26"/>
        </w:rPr>
        <w:t>зеленый</w:t>
      </w:r>
      <w:r w:rsidR="00875B75" w:rsidRPr="00FF6DB8">
        <w:rPr>
          <w:sz w:val="26"/>
          <w:szCs w:val="26"/>
        </w:rPr>
        <w:t xml:space="preserve">, </w:t>
      </w:r>
      <w:r w:rsidR="00875B75" w:rsidRPr="00C3163C">
        <w:rPr>
          <w:sz w:val="26"/>
          <w:szCs w:val="26"/>
        </w:rPr>
        <w:t xml:space="preserve">№ двигателя </w:t>
      </w:r>
      <w:r w:rsidR="00875B75">
        <w:rPr>
          <w:sz w:val="26"/>
          <w:szCs w:val="26"/>
        </w:rPr>
        <w:t>511 0005759</w:t>
      </w:r>
      <w:r w:rsidR="00875B75" w:rsidRPr="00FF6DB8">
        <w:rPr>
          <w:sz w:val="26"/>
          <w:szCs w:val="26"/>
        </w:rPr>
        <w:t>, гос</w:t>
      </w:r>
      <w:r w:rsidR="00875B75">
        <w:rPr>
          <w:sz w:val="26"/>
          <w:szCs w:val="26"/>
        </w:rPr>
        <w:t xml:space="preserve">ударственный регистрационный знак </w:t>
      </w:r>
      <w:r w:rsidR="00875B75" w:rsidRPr="00FF6DB8">
        <w:rPr>
          <w:sz w:val="26"/>
          <w:szCs w:val="26"/>
        </w:rPr>
        <w:t xml:space="preserve"> </w:t>
      </w:r>
      <w:r w:rsidR="00875B75">
        <w:rPr>
          <w:sz w:val="26"/>
          <w:szCs w:val="26"/>
        </w:rPr>
        <w:t>М498ОВ124</w:t>
      </w:r>
    </w:p>
    <w:p w:rsidR="000A3F93" w:rsidRPr="009620EE" w:rsidRDefault="000A3F93" w:rsidP="004C523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37">
        <w:rPr>
          <w:b/>
          <w:i/>
          <w:sz w:val="26"/>
          <w:szCs w:val="26"/>
        </w:rPr>
        <w:t>Начальная цена</w:t>
      </w:r>
      <w:r w:rsidRPr="00BF3A37">
        <w:rPr>
          <w:b/>
          <w:sz w:val="26"/>
          <w:szCs w:val="26"/>
        </w:rPr>
        <w:t xml:space="preserve">: </w:t>
      </w:r>
      <w:r w:rsidR="00875B75">
        <w:rPr>
          <w:sz w:val="26"/>
          <w:szCs w:val="26"/>
        </w:rPr>
        <w:t>144</w:t>
      </w:r>
      <w:r w:rsidR="005C1773">
        <w:rPr>
          <w:sz w:val="26"/>
          <w:szCs w:val="26"/>
        </w:rPr>
        <w:t xml:space="preserve"> </w:t>
      </w:r>
      <w:r w:rsidR="00875B75">
        <w:rPr>
          <w:sz w:val="26"/>
          <w:szCs w:val="26"/>
        </w:rPr>
        <w:t>000</w:t>
      </w:r>
      <w:r w:rsidR="000F2FBE" w:rsidRPr="009620EE">
        <w:rPr>
          <w:b/>
          <w:sz w:val="26"/>
          <w:szCs w:val="26"/>
        </w:rPr>
        <w:t xml:space="preserve"> (</w:t>
      </w:r>
      <w:r w:rsidR="00875B75">
        <w:rPr>
          <w:sz w:val="26"/>
          <w:szCs w:val="26"/>
        </w:rPr>
        <w:t>сто сорок четыре тысячи</w:t>
      </w:r>
      <w:r w:rsidR="000F2FBE" w:rsidRPr="009620EE">
        <w:rPr>
          <w:sz w:val="26"/>
          <w:szCs w:val="26"/>
        </w:rPr>
        <w:t>) 00 коп</w:t>
      </w:r>
      <w:r w:rsidR="00D7632F">
        <w:rPr>
          <w:sz w:val="26"/>
          <w:szCs w:val="26"/>
        </w:rPr>
        <w:t>еек</w:t>
      </w:r>
      <w:r w:rsidR="000F2FBE" w:rsidRPr="009620EE">
        <w:rPr>
          <w:sz w:val="26"/>
          <w:szCs w:val="26"/>
        </w:rPr>
        <w:t xml:space="preserve">., </w:t>
      </w:r>
      <w:r w:rsidRPr="009620EE">
        <w:rPr>
          <w:b/>
          <w:sz w:val="26"/>
          <w:szCs w:val="26"/>
        </w:rPr>
        <w:t xml:space="preserve"> </w:t>
      </w:r>
      <w:r w:rsidRPr="009620EE">
        <w:rPr>
          <w:sz w:val="26"/>
          <w:szCs w:val="26"/>
        </w:rPr>
        <w:t xml:space="preserve">в соответствии </w:t>
      </w:r>
      <w:r w:rsidR="005D3ED1" w:rsidRPr="009620EE">
        <w:rPr>
          <w:sz w:val="26"/>
          <w:szCs w:val="26"/>
        </w:rPr>
        <w:t xml:space="preserve">с отчетом  об определении рыночной стоимости имущества – </w:t>
      </w:r>
      <w:r w:rsidR="00875B75">
        <w:rPr>
          <w:sz w:val="26"/>
          <w:szCs w:val="26"/>
        </w:rPr>
        <w:t>ГАЗ</w:t>
      </w:r>
      <w:r w:rsidR="00875B75" w:rsidRPr="00FF6DB8">
        <w:rPr>
          <w:sz w:val="26"/>
          <w:szCs w:val="26"/>
        </w:rPr>
        <w:t xml:space="preserve"> </w:t>
      </w:r>
      <w:r w:rsidR="00875B75">
        <w:rPr>
          <w:sz w:val="26"/>
          <w:szCs w:val="26"/>
        </w:rPr>
        <w:t>33073</w:t>
      </w:r>
      <w:r w:rsidR="00875B75" w:rsidRPr="00FF6DB8">
        <w:rPr>
          <w:sz w:val="26"/>
          <w:szCs w:val="26"/>
        </w:rPr>
        <w:t xml:space="preserve">, год выпуска ТС </w:t>
      </w:r>
      <w:r w:rsidR="00875B75">
        <w:rPr>
          <w:sz w:val="26"/>
          <w:szCs w:val="26"/>
        </w:rPr>
        <w:t>1995</w:t>
      </w:r>
      <w:r w:rsidR="00875B75" w:rsidRPr="00FF6DB8">
        <w:rPr>
          <w:sz w:val="26"/>
          <w:szCs w:val="26"/>
        </w:rPr>
        <w:t>, шасси (рама) №</w:t>
      </w:r>
      <w:r w:rsidR="00875B75">
        <w:rPr>
          <w:sz w:val="26"/>
          <w:szCs w:val="26"/>
        </w:rPr>
        <w:t>1611303</w:t>
      </w:r>
      <w:r w:rsidR="00875B75" w:rsidRPr="00FF6DB8">
        <w:rPr>
          <w:sz w:val="26"/>
          <w:szCs w:val="26"/>
        </w:rPr>
        <w:t xml:space="preserve">, цвет кузова – </w:t>
      </w:r>
      <w:r w:rsidR="00875B75">
        <w:rPr>
          <w:sz w:val="26"/>
          <w:szCs w:val="26"/>
        </w:rPr>
        <w:t>зеленый</w:t>
      </w:r>
      <w:r w:rsidR="00875B75" w:rsidRPr="00FF6DB8">
        <w:rPr>
          <w:sz w:val="26"/>
          <w:szCs w:val="26"/>
        </w:rPr>
        <w:t xml:space="preserve">, </w:t>
      </w:r>
      <w:r w:rsidR="00875B75" w:rsidRPr="00C3163C">
        <w:rPr>
          <w:sz w:val="26"/>
          <w:szCs w:val="26"/>
        </w:rPr>
        <w:t xml:space="preserve">№ двигателя </w:t>
      </w:r>
      <w:r w:rsidR="00875B75">
        <w:rPr>
          <w:sz w:val="26"/>
          <w:szCs w:val="26"/>
        </w:rPr>
        <w:t>511 0005759</w:t>
      </w:r>
      <w:r w:rsidR="00875B75" w:rsidRPr="00FF6DB8">
        <w:rPr>
          <w:sz w:val="26"/>
          <w:szCs w:val="26"/>
        </w:rPr>
        <w:t>, гос</w:t>
      </w:r>
      <w:r w:rsidR="00875B75">
        <w:rPr>
          <w:sz w:val="26"/>
          <w:szCs w:val="26"/>
        </w:rPr>
        <w:t xml:space="preserve">ударственный регистрационный знак </w:t>
      </w:r>
      <w:r w:rsidR="00875B75" w:rsidRPr="00FF6DB8">
        <w:rPr>
          <w:sz w:val="26"/>
          <w:szCs w:val="26"/>
        </w:rPr>
        <w:t xml:space="preserve"> </w:t>
      </w:r>
      <w:r w:rsidR="00875B75">
        <w:rPr>
          <w:sz w:val="26"/>
          <w:szCs w:val="26"/>
        </w:rPr>
        <w:t>М498ОВ124</w:t>
      </w:r>
      <w:r w:rsidR="004C523C">
        <w:rPr>
          <w:sz w:val="26"/>
          <w:szCs w:val="26"/>
        </w:rPr>
        <w:t xml:space="preserve"> </w:t>
      </w:r>
      <w:r w:rsidR="005D3ED1" w:rsidRPr="009620EE">
        <w:rPr>
          <w:sz w:val="26"/>
          <w:szCs w:val="26"/>
        </w:rPr>
        <w:t xml:space="preserve">от </w:t>
      </w:r>
      <w:r w:rsidR="004C523C">
        <w:rPr>
          <w:sz w:val="26"/>
          <w:szCs w:val="26"/>
        </w:rPr>
        <w:t>01.02.2019</w:t>
      </w:r>
      <w:r w:rsidR="005D3ED1" w:rsidRPr="009620EE">
        <w:rPr>
          <w:sz w:val="26"/>
          <w:szCs w:val="26"/>
        </w:rPr>
        <w:t xml:space="preserve"> г. № </w:t>
      </w:r>
      <w:r w:rsidR="004C523C">
        <w:rPr>
          <w:sz w:val="26"/>
          <w:szCs w:val="26"/>
        </w:rPr>
        <w:t>06-2019</w:t>
      </w:r>
      <w:r w:rsidR="009620EE" w:rsidRPr="009620EE">
        <w:rPr>
          <w:sz w:val="26"/>
          <w:szCs w:val="26"/>
        </w:rPr>
        <w:t>.</w:t>
      </w:r>
    </w:p>
    <w:p w:rsidR="005D3ED1" w:rsidRPr="005D3ED1" w:rsidRDefault="000A3F93" w:rsidP="00270981">
      <w:pPr>
        <w:pStyle w:val="a8"/>
        <w:ind w:left="0"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Шаг аукциона:  5% от начальной цены, что составляет  </w:t>
      </w:r>
      <w:r w:rsidR="004C523C">
        <w:rPr>
          <w:sz w:val="26"/>
          <w:szCs w:val="26"/>
        </w:rPr>
        <w:t>7</w:t>
      </w:r>
      <w:r w:rsidR="005C1773">
        <w:rPr>
          <w:sz w:val="26"/>
          <w:szCs w:val="26"/>
        </w:rPr>
        <w:t xml:space="preserve"> </w:t>
      </w:r>
      <w:r w:rsidR="004C523C">
        <w:rPr>
          <w:sz w:val="26"/>
          <w:szCs w:val="26"/>
        </w:rPr>
        <w:t>200</w:t>
      </w:r>
      <w:r w:rsidR="005D3ED1" w:rsidRPr="005D3ED1">
        <w:rPr>
          <w:sz w:val="26"/>
          <w:szCs w:val="26"/>
        </w:rPr>
        <w:t xml:space="preserve"> (</w:t>
      </w:r>
      <w:r w:rsidR="004C523C">
        <w:rPr>
          <w:sz w:val="26"/>
          <w:szCs w:val="26"/>
        </w:rPr>
        <w:t>семь тысяч</w:t>
      </w:r>
      <w:r w:rsidR="009620EE">
        <w:rPr>
          <w:sz w:val="26"/>
          <w:szCs w:val="26"/>
        </w:rPr>
        <w:t xml:space="preserve"> </w:t>
      </w:r>
      <w:r w:rsidR="004C523C">
        <w:rPr>
          <w:sz w:val="26"/>
          <w:szCs w:val="26"/>
        </w:rPr>
        <w:t>двести</w:t>
      </w:r>
      <w:r w:rsidR="005D3ED1" w:rsidRPr="005D3ED1">
        <w:rPr>
          <w:sz w:val="26"/>
          <w:szCs w:val="26"/>
        </w:rPr>
        <w:t xml:space="preserve"> рублей) 00 копеек.</w:t>
      </w:r>
    </w:p>
    <w:p w:rsidR="002E747C" w:rsidRPr="006648CB" w:rsidRDefault="00811E60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>Администрация Саянского района ИНН 2433000741 КПП 243301001 ОКМО 04648402 номер счета получателя 40302810900003000287 в отделение Красноярск г. Красноярск БИК 040407001 л/с 05193008640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C3163C" w:rsidRDefault="00C3163C" w:rsidP="009620EE">
      <w:pPr>
        <w:ind w:firstLine="708"/>
        <w:contextualSpacing/>
        <w:jc w:val="both"/>
        <w:rPr>
          <w:sz w:val="26"/>
          <w:szCs w:val="26"/>
        </w:rPr>
      </w:pP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17643A">
        <w:rPr>
          <w:b/>
          <w:sz w:val="26"/>
          <w:szCs w:val="26"/>
        </w:rPr>
        <w:t>09</w:t>
      </w:r>
      <w:r w:rsidR="004C523C">
        <w:rPr>
          <w:b/>
          <w:sz w:val="26"/>
          <w:szCs w:val="26"/>
        </w:rPr>
        <w:t>.</w:t>
      </w:r>
      <w:r w:rsidR="0017643A">
        <w:rPr>
          <w:b/>
          <w:sz w:val="26"/>
          <w:szCs w:val="26"/>
        </w:rPr>
        <w:t>09</w:t>
      </w:r>
      <w:r w:rsidR="004C523C">
        <w:rPr>
          <w:b/>
          <w:sz w:val="26"/>
          <w:szCs w:val="26"/>
        </w:rPr>
        <w:t>.</w:t>
      </w:r>
      <w:r w:rsidR="00270981">
        <w:rPr>
          <w:b/>
          <w:sz w:val="26"/>
          <w:szCs w:val="26"/>
        </w:rPr>
        <w:t xml:space="preserve"> </w:t>
      </w:r>
      <w:r w:rsidR="00276479">
        <w:rPr>
          <w:b/>
          <w:sz w:val="26"/>
          <w:szCs w:val="26"/>
        </w:rPr>
        <w:t>201</w:t>
      </w:r>
      <w:r w:rsidR="009620EE">
        <w:rPr>
          <w:b/>
          <w:sz w:val="26"/>
          <w:szCs w:val="26"/>
        </w:rPr>
        <w:t>9</w:t>
      </w:r>
      <w:r w:rsidRPr="00276479">
        <w:rPr>
          <w:b/>
          <w:sz w:val="26"/>
          <w:szCs w:val="26"/>
        </w:rPr>
        <w:t xml:space="preserve"> г.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4C523C">
        <w:rPr>
          <w:sz w:val="26"/>
          <w:szCs w:val="26"/>
        </w:rPr>
        <w:t xml:space="preserve">- </w:t>
      </w:r>
      <w:r w:rsidRPr="004C523C">
        <w:rPr>
          <w:b/>
          <w:sz w:val="26"/>
          <w:szCs w:val="26"/>
        </w:rPr>
        <w:t xml:space="preserve">ЛОТ № 1  - сумма задатка </w:t>
      </w:r>
      <w:r w:rsidR="00B3441B" w:rsidRPr="004C523C">
        <w:rPr>
          <w:b/>
          <w:sz w:val="26"/>
          <w:szCs w:val="26"/>
        </w:rPr>
        <w:t>–</w:t>
      </w:r>
      <w:r w:rsidR="005D3ED1" w:rsidRPr="004C523C">
        <w:rPr>
          <w:b/>
          <w:sz w:val="26"/>
          <w:szCs w:val="26"/>
        </w:rPr>
        <w:t xml:space="preserve"> </w:t>
      </w:r>
      <w:r w:rsidR="004C523C" w:rsidRPr="004C523C">
        <w:rPr>
          <w:b/>
          <w:sz w:val="26"/>
          <w:szCs w:val="26"/>
        </w:rPr>
        <w:t>28</w:t>
      </w:r>
      <w:r w:rsidR="005C1773">
        <w:rPr>
          <w:b/>
          <w:sz w:val="26"/>
          <w:szCs w:val="26"/>
        </w:rPr>
        <w:t xml:space="preserve"> </w:t>
      </w:r>
      <w:r w:rsidR="004C523C" w:rsidRPr="004C523C">
        <w:rPr>
          <w:b/>
          <w:sz w:val="26"/>
          <w:szCs w:val="26"/>
        </w:rPr>
        <w:t>8</w:t>
      </w:r>
      <w:r w:rsidR="009620EE" w:rsidRPr="004C523C">
        <w:rPr>
          <w:b/>
          <w:sz w:val="26"/>
          <w:szCs w:val="26"/>
        </w:rPr>
        <w:t>00</w:t>
      </w:r>
      <w:r w:rsidR="005D3ED1" w:rsidRPr="004C523C">
        <w:rPr>
          <w:b/>
          <w:sz w:val="26"/>
          <w:szCs w:val="26"/>
        </w:rPr>
        <w:t xml:space="preserve"> рублей (</w:t>
      </w:r>
      <w:r w:rsidR="004C523C" w:rsidRPr="004C523C">
        <w:rPr>
          <w:b/>
          <w:sz w:val="26"/>
          <w:szCs w:val="26"/>
        </w:rPr>
        <w:t>двадцать восемь тысяч восемьсот рублей</w:t>
      </w:r>
      <w:r w:rsidR="005D3ED1" w:rsidRPr="004C523C">
        <w:rPr>
          <w:b/>
          <w:sz w:val="26"/>
          <w:szCs w:val="26"/>
        </w:rPr>
        <w:t xml:space="preserve">) 00 коп. </w:t>
      </w:r>
      <w:r w:rsidRPr="004C523C">
        <w:rPr>
          <w:bCs/>
          <w:sz w:val="26"/>
          <w:szCs w:val="26"/>
        </w:rPr>
        <w:t>Задаток должен поступить не позднее последнего дня приема заявок. Датой</w:t>
      </w:r>
      <w:r w:rsidRPr="00BF3A37">
        <w:rPr>
          <w:bCs/>
          <w:sz w:val="26"/>
          <w:szCs w:val="26"/>
        </w:rPr>
        <w:t xml:space="preserve">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</w:t>
      </w:r>
      <w:r w:rsidR="00D22E1B">
        <w:rPr>
          <w:sz w:val="26"/>
          <w:szCs w:val="26"/>
        </w:rPr>
        <w:lastRenderedPageBreak/>
        <w:t xml:space="preserve">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08</w:t>
      </w:r>
      <w:r w:rsidR="004C523C">
        <w:rPr>
          <w:sz w:val="26"/>
          <w:szCs w:val="26"/>
        </w:rPr>
        <w:t>.</w:t>
      </w:r>
      <w:r w:rsidR="0018278D" w:rsidRPr="0018278D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="005D3ED1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08</w:t>
      </w:r>
      <w:r w:rsidR="004C523C">
        <w:rPr>
          <w:sz w:val="26"/>
          <w:szCs w:val="26"/>
        </w:rPr>
        <w:t>.</w:t>
      </w:r>
      <w:r w:rsidR="005A4979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="005A4979">
        <w:rPr>
          <w:sz w:val="26"/>
          <w:szCs w:val="26"/>
        </w:rPr>
        <w:t xml:space="preserve">г. по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08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 по 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="0017643A">
        <w:rPr>
          <w:sz w:val="26"/>
          <w:szCs w:val="26"/>
        </w:rPr>
        <w:t>09</w:t>
      </w:r>
      <w:r w:rsidR="004C523C">
        <w:rPr>
          <w:sz w:val="26"/>
          <w:szCs w:val="26"/>
        </w:rPr>
        <w:t>.</w:t>
      </w:r>
      <w:r w:rsidRPr="00E30079">
        <w:rPr>
          <w:sz w:val="26"/>
          <w:szCs w:val="26"/>
        </w:rPr>
        <w:t>20</w:t>
      </w:r>
      <w:r w:rsidR="005D3ED1">
        <w:rPr>
          <w:sz w:val="26"/>
          <w:szCs w:val="26"/>
        </w:rPr>
        <w:t>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8.5. Заявитель, подавший заявку на участие в аукционе, вправе изменить </w:t>
      </w:r>
      <w:r w:rsidRPr="00E30079">
        <w:rPr>
          <w:sz w:val="26"/>
          <w:szCs w:val="26"/>
        </w:rPr>
        <w:lastRenderedPageBreak/>
        <w:t>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9.4. В случае установления факта недостоверности сведений, содержащихся в документах, представленных заявителем для участия в аукционе, заявитель </w:t>
      </w:r>
      <w:r w:rsidRPr="00E30079">
        <w:rPr>
          <w:sz w:val="26"/>
          <w:szCs w:val="26"/>
        </w:rPr>
        <w:lastRenderedPageBreak/>
        <w:t>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</w:t>
      </w:r>
      <w:r w:rsidR="00126504">
        <w:rPr>
          <w:rFonts w:eastAsiaTheme="minorHAnsi"/>
          <w:sz w:val="26"/>
          <w:szCs w:val="26"/>
          <w:lang w:eastAsia="en-US"/>
        </w:rPr>
        <w:lastRenderedPageBreak/>
        <w:t xml:space="preserve">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lastRenderedPageBreak/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AA10FE" w:rsidRDefault="00AA10FE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Первый заместитель  главы района-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Саянского района                                                                   В.А. Чудаков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D2780C">
        <w:rPr>
          <w:i/>
        </w:rPr>
        <w:t>12</w:t>
      </w:r>
      <w:r w:rsidR="005C1773">
        <w:rPr>
          <w:i/>
        </w:rPr>
        <w:t>.</w:t>
      </w:r>
      <w:r w:rsidR="006A3805">
        <w:rPr>
          <w:i/>
        </w:rPr>
        <w:t xml:space="preserve"> </w:t>
      </w:r>
      <w:r w:rsidR="005D3ED1">
        <w:rPr>
          <w:i/>
        </w:rPr>
        <w:t xml:space="preserve"> </w:t>
      </w:r>
      <w:r w:rsidR="00D2780C">
        <w:rPr>
          <w:i/>
        </w:rPr>
        <w:t>09</w:t>
      </w:r>
      <w:r w:rsidR="005C1773">
        <w:rPr>
          <w:i/>
        </w:rPr>
        <w:t>.</w:t>
      </w:r>
      <w:r w:rsidR="005D3ED1">
        <w:rPr>
          <w:i/>
        </w:rPr>
        <w:t xml:space="preserve"> </w:t>
      </w:r>
      <w:r>
        <w:rPr>
          <w:i/>
        </w:rPr>
        <w:t>201</w:t>
      </w:r>
      <w:r w:rsidR="00745708">
        <w:rPr>
          <w:i/>
        </w:rPr>
        <w:t>9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>. Агинское</w:t>
      </w:r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5C1773" w:rsidRPr="005C1773" w:rsidRDefault="000A3F93" w:rsidP="005C1773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C1773">
        <w:rPr>
          <w:sz w:val="26"/>
          <w:szCs w:val="26"/>
        </w:rPr>
        <w:t xml:space="preserve">1. Для участия в аукционе по продаже муниципального имущества, </w:t>
      </w:r>
      <w:r w:rsidR="005C1773" w:rsidRPr="005C1773">
        <w:rPr>
          <w:sz w:val="26"/>
          <w:szCs w:val="26"/>
        </w:rPr>
        <w:t>ГАЗ 33073,</w:t>
      </w:r>
    </w:p>
    <w:p w:rsidR="00CE1E8E" w:rsidRPr="007D2D21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  <w:r w:rsidRPr="005C1773">
        <w:rPr>
          <w:sz w:val="26"/>
          <w:szCs w:val="26"/>
        </w:rPr>
        <w:t>год выпуска ТС 1995, шасси (рама) №1611303,цвет кузова - зеленый, № двигателя 511 0005759,государственный регистрационный знак  М498ОВ124</w:t>
      </w:r>
      <w:r>
        <w:rPr>
          <w:sz w:val="26"/>
          <w:szCs w:val="26"/>
        </w:rPr>
        <w:t xml:space="preserve"> от 01.02.2019 №06-2019 </w:t>
      </w:r>
      <w:r w:rsidR="000A3F93" w:rsidRPr="003B473F">
        <w:rPr>
          <w:sz w:val="26"/>
          <w:szCs w:val="26"/>
        </w:rPr>
        <w:t xml:space="preserve">проводимом Продавцом </w:t>
      </w:r>
      <w:r w:rsidR="00D2780C">
        <w:rPr>
          <w:i/>
          <w:sz w:val="26"/>
          <w:szCs w:val="26"/>
        </w:rPr>
        <w:t>12.09</w:t>
      </w:r>
      <w:r w:rsidR="000A3F93" w:rsidRPr="003B473F">
        <w:rPr>
          <w:i/>
          <w:sz w:val="26"/>
          <w:szCs w:val="26"/>
        </w:rPr>
        <w:t xml:space="preserve"> 201</w:t>
      </w:r>
      <w:r w:rsidR="001F59BF">
        <w:rPr>
          <w:i/>
          <w:sz w:val="26"/>
          <w:szCs w:val="26"/>
        </w:rPr>
        <w:t>9</w:t>
      </w:r>
      <w:r w:rsidR="0040629B">
        <w:rPr>
          <w:i/>
          <w:sz w:val="26"/>
          <w:szCs w:val="26"/>
        </w:rPr>
        <w:t xml:space="preserve"> </w:t>
      </w:r>
      <w:r w:rsidR="000A3F93" w:rsidRPr="003B473F">
        <w:rPr>
          <w:i/>
          <w:sz w:val="26"/>
          <w:szCs w:val="26"/>
        </w:rPr>
        <w:t xml:space="preserve"> года</w:t>
      </w:r>
      <w:r w:rsidR="000A3F93" w:rsidRPr="003B473F">
        <w:rPr>
          <w:sz w:val="26"/>
          <w:szCs w:val="26"/>
        </w:rPr>
        <w:t xml:space="preserve">, Претендент обязуется перечислить на </w:t>
      </w:r>
      <w:r w:rsidR="00CE1E8E">
        <w:rPr>
          <w:sz w:val="26"/>
          <w:szCs w:val="26"/>
        </w:rPr>
        <w:t>балансовый счет: 4030281090000300287</w:t>
      </w:r>
      <w:r w:rsidR="00CE1E8E" w:rsidRPr="007D2D21">
        <w:rPr>
          <w:sz w:val="26"/>
          <w:szCs w:val="26"/>
        </w:rPr>
        <w:t xml:space="preserve"> </w:t>
      </w:r>
      <w:r w:rsidR="00CE1E8E">
        <w:rPr>
          <w:sz w:val="26"/>
          <w:szCs w:val="26"/>
        </w:rPr>
        <w:t xml:space="preserve">Банк получателя: Отделение Красноярск г.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Балансовый счет: 4030281090000300287</w:t>
            </w:r>
            <w:r w:rsidRPr="007D2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0A3F93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E24482" w:rsidRDefault="00E24482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40629B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0A2431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5D3ED1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2018</w:t>
      </w:r>
      <w:r w:rsidRPr="0040629B">
        <w:rPr>
          <w:sz w:val="26"/>
          <w:szCs w:val="26"/>
        </w:rPr>
        <w:t xml:space="preserve"> г. № ___, 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№1.</w:t>
      </w:r>
    </w:p>
    <w:p w:rsidR="005D3ED1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  <w:r w:rsidRPr="005C1773">
        <w:rPr>
          <w:sz w:val="26"/>
          <w:szCs w:val="26"/>
        </w:rPr>
        <w:t>ГАЗ 33073, год выпуска ТС 1995, шасси (рама) №1611303,цвет кузова - зеленый, № двигателя 511 0005759,государственный регистрационный знак  М498ОВ124</w:t>
      </w:r>
    </w:p>
    <w:p w:rsidR="005C1773" w:rsidRPr="005C1773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</w:t>
      </w:r>
      <w:r w:rsidR="00BF7BD5">
        <w:rPr>
          <w:sz w:val="26"/>
          <w:szCs w:val="26"/>
        </w:rPr>
        <w:t>9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40101810600000010001 в отделение Красноярск г. Красноярск БИК 040407001 КБК </w:t>
      </w:r>
      <w:r w:rsidR="00BF7BD5" w:rsidRPr="00BF7BD5">
        <w:rPr>
          <w:color w:val="000000" w:themeColor="text1"/>
          <w:sz w:val="26"/>
          <w:szCs w:val="26"/>
        </w:rPr>
        <w:t>00511402053050000410</w:t>
      </w:r>
      <w:r w:rsidRPr="00BF7BD5">
        <w:rPr>
          <w:color w:val="000000" w:themeColor="text1"/>
          <w:sz w:val="26"/>
          <w:szCs w:val="26"/>
        </w:rPr>
        <w:t xml:space="preserve"> 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lastRenderedPageBreak/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Отделение Красноярск  г.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BF7BD5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BF7BD5">
              <w:rPr>
                <w:sz w:val="26"/>
                <w:szCs w:val="26"/>
              </w:rPr>
              <w:t>9</w:t>
            </w:r>
            <w:r w:rsidR="00100EE4">
              <w:rPr>
                <w:sz w:val="26"/>
                <w:szCs w:val="26"/>
              </w:rPr>
              <w:t xml:space="preserve">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BF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</w:t>
            </w:r>
            <w:r w:rsidR="00BF7BD5">
              <w:rPr>
                <w:sz w:val="26"/>
                <w:szCs w:val="26"/>
              </w:rPr>
              <w:t>9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от __________ г </w:t>
      </w:r>
      <w:r w:rsidR="00A34D8F">
        <w:rPr>
          <w:sz w:val="26"/>
          <w:szCs w:val="26"/>
        </w:rPr>
        <w:t xml:space="preserve">.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Агинское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201</w:t>
      </w:r>
      <w:r w:rsidR="00BF7BD5">
        <w:rPr>
          <w:rFonts w:ascii="Times New Roman" w:hAnsi="Times New Roman" w:cs="Times New Roman"/>
          <w:sz w:val="26"/>
          <w:szCs w:val="26"/>
        </w:rPr>
        <w:t>9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0A3F93" w:rsidP="00BF7BD5">
      <w:pPr>
        <w:ind w:firstLine="709"/>
        <w:jc w:val="both"/>
        <w:rPr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 xml:space="preserve">В соответствии с договором купли-продажи движимого имущества от «__» _______ 201__ года Продавец передал, а Покупатель принял объект движимого имущества </w:t>
      </w:r>
      <w:r w:rsidR="00100EE4" w:rsidRPr="005C1773">
        <w:rPr>
          <w:color w:val="000000"/>
          <w:sz w:val="26"/>
          <w:szCs w:val="26"/>
        </w:rPr>
        <w:t>–</w:t>
      </w:r>
      <w:r w:rsidR="00100EE4" w:rsidRPr="005C1773">
        <w:rPr>
          <w:sz w:val="26"/>
          <w:szCs w:val="26"/>
        </w:rPr>
        <w:t xml:space="preserve"> </w:t>
      </w:r>
      <w:r w:rsidR="005C1773" w:rsidRPr="005C1773">
        <w:rPr>
          <w:sz w:val="26"/>
          <w:szCs w:val="26"/>
        </w:rPr>
        <w:t>ГАЗ</w:t>
      </w:r>
      <w:r w:rsidR="00BF7BD5" w:rsidRPr="005C1773">
        <w:rPr>
          <w:sz w:val="26"/>
          <w:szCs w:val="26"/>
        </w:rPr>
        <w:t xml:space="preserve"> </w:t>
      </w:r>
      <w:r w:rsidR="005C1773" w:rsidRPr="005C1773">
        <w:rPr>
          <w:sz w:val="26"/>
          <w:szCs w:val="26"/>
        </w:rPr>
        <w:t>33073</w:t>
      </w:r>
      <w:r w:rsidR="00BF7BD5" w:rsidRPr="005C1773">
        <w:rPr>
          <w:sz w:val="26"/>
          <w:szCs w:val="26"/>
        </w:rPr>
        <w:t xml:space="preserve">, год выпуска ТС 1995, шасси (рама) № </w:t>
      </w:r>
      <w:r w:rsidR="005C1773" w:rsidRPr="005C1773">
        <w:rPr>
          <w:sz w:val="26"/>
          <w:szCs w:val="26"/>
        </w:rPr>
        <w:t>1611303</w:t>
      </w:r>
      <w:r w:rsidR="00BF7BD5" w:rsidRPr="005C1773">
        <w:rPr>
          <w:sz w:val="26"/>
          <w:szCs w:val="26"/>
        </w:rPr>
        <w:t xml:space="preserve">, цвет кузова – </w:t>
      </w:r>
      <w:r w:rsidR="005C1773" w:rsidRPr="005C1773">
        <w:rPr>
          <w:sz w:val="26"/>
          <w:szCs w:val="26"/>
        </w:rPr>
        <w:t>зеленый</w:t>
      </w:r>
      <w:r w:rsidR="00BF7BD5" w:rsidRPr="005C1773">
        <w:rPr>
          <w:sz w:val="26"/>
          <w:szCs w:val="26"/>
        </w:rPr>
        <w:t>, мощность двигателя л.с. (кВт)</w:t>
      </w:r>
      <w:r w:rsidR="005C1773" w:rsidRPr="005C1773">
        <w:rPr>
          <w:sz w:val="26"/>
          <w:szCs w:val="26"/>
        </w:rPr>
        <w:t>84.67</w:t>
      </w:r>
      <w:r w:rsidR="00BF7BD5" w:rsidRPr="005C1773">
        <w:rPr>
          <w:sz w:val="26"/>
          <w:szCs w:val="26"/>
        </w:rPr>
        <w:t xml:space="preserve">, </w:t>
      </w:r>
      <w:r w:rsidR="005C1773">
        <w:rPr>
          <w:sz w:val="26"/>
          <w:szCs w:val="26"/>
        </w:rPr>
        <w:t>государств</w:t>
      </w:r>
      <w:r w:rsidR="00F40406">
        <w:rPr>
          <w:sz w:val="26"/>
          <w:szCs w:val="26"/>
        </w:rPr>
        <w:t>енный регистрационный знак М498ОВ</w:t>
      </w:r>
      <w:r w:rsidR="005C1773">
        <w:rPr>
          <w:sz w:val="26"/>
          <w:szCs w:val="26"/>
        </w:rPr>
        <w:t>124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</w:t>
            </w:r>
            <w:r w:rsidR="00BF7BD5">
              <w:rPr>
                <w:sz w:val="24"/>
                <w:szCs w:val="24"/>
              </w:rPr>
              <w:t>9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«____»_______________201</w:t>
            </w:r>
            <w:r w:rsidR="00BF7BD5">
              <w:rPr>
                <w:sz w:val="24"/>
                <w:szCs w:val="24"/>
              </w:rPr>
              <w:t>9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BA" w:rsidRDefault="004075BA" w:rsidP="005F203E">
      <w:r>
        <w:separator/>
      </w:r>
    </w:p>
  </w:endnote>
  <w:endnote w:type="continuationSeparator" w:id="1">
    <w:p w:rsidR="004075BA" w:rsidRDefault="004075BA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BA" w:rsidRDefault="004075BA" w:rsidP="005F203E">
      <w:r>
        <w:separator/>
      </w:r>
    </w:p>
  </w:footnote>
  <w:footnote w:type="continuationSeparator" w:id="1">
    <w:p w:rsidR="004075BA" w:rsidRDefault="004075BA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3085"/>
    <w:rsid w:val="00014DE2"/>
    <w:rsid w:val="00015406"/>
    <w:rsid w:val="0001570F"/>
    <w:rsid w:val="00015A79"/>
    <w:rsid w:val="00015B3C"/>
    <w:rsid w:val="00016296"/>
    <w:rsid w:val="00016A27"/>
    <w:rsid w:val="00016AD0"/>
    <w:rsid w:val="00016E6A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43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A38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375FD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43A"/>
    <w:rsid w:val="00176C60"/>
    <w:rsid w:val="00177A4C"/>
    <w:rsid w:val="00180316"/>
    <w:rsid w:val="00180706"/>
    <w:rsid w:val="00181E02"/>
    <w:rsid w:val="0018278D"/>
    <w:rsid w:val="00182BE9"/>
    <w:rsid w:val="00185B86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11FE3"/>
    <w:rsid w:val="0021347B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183C"/>
    <w:rsid w:val="0024252C"/>
    <w:rsid w:val="00242691"/>
    <w:rsid w:val="00242859"/>
    <w:rsid w:val="00243158"/>
    <w:rsid w:val="00243CE8"/>
    <w:rsid w:val="0024489E"/>
    <w:rsid w:val="00245448"/>
    <w:rsid w:val="00252237"/>
    <w:rsid w:val="00252C28"/>
    <w:rsid w:val="00252CDC"/>
    <w:rsid w:val="0025407A"/>
    <w:rsid w:val="002555C1"/>
    <w:rsid w:val="00255826"/>
    <w:rsid w:val="00256130"/>
    <w:rsid w:val="00256DC4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151C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F0BD5"/>
    <w:rsid w:val="003F0C79"/>
    <w:rsid w:val="003F0CC4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0629B"/>
    <w:rsid w:val="004075BA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35B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738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C2B"/>
    <w:rsid w:val="004C2F9D"/>
    <w:rsid w:val="004C32EB"/>
    <w:rsid w:val="004C3452"/>
    <w:rsid w:val="004C3D9A"/>
    <w:rsid w:val="004C43AB"/>
    <w:rsid w:val="004C523C"/>
    <w:rsid w:val="004C61AD"/>
    <w:rsid w:val="004D0717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3BC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972C0"/>
    <w:rsid w:val="005A060E"/>
    <w:rsid w:val="005A06EF"/>
    <w:rsid w:val="005A0AA1"/>
    <w:rsid w:val="005A115A"/>
    <w:rsid w:val="005A2403"/>
    <w:rsid w:val="005A2623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1773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69D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5856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2E45"/>
    <w:rsid w:val="006648CB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23C2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47DCB"/>
    <w:rsid w:val="007506B2"/>
    <w:rsid w:val="00750E16"/>
    <w:rsid w:val="00751DAE"/>
    <w:rsid w:val="007528A9"/>
    <w:rsid w:val="00752913"/>
    <w:rsid w:val="00752D4C"/>
    <w:rsid w:val="00752F77"/>
    <w:rsid w:val="00753661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97502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5B75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67B"/>
    <w:rsid w:val="008921D8"/>
    <w:rsid w:val="0089283E"/>
    <w:rsid w:val="00892B48"/>
    <w:rsid w:val="008934F6"/>
    <w:rsid w:val="00894438"/>
    <w:rsid w:val="0089558C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310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097B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4DF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6FCE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47A5D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0FE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1C4E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1A6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70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2780C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3FF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17C72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0406"/>
    <w:rsid w:val="00F417FB"/>
    <w:rsid w:val="00F42AAF"/>
    <w:rsid w:val="00F42ACE"/>
    <w:rsid w:val="00F42B5B"/>
    <w:rsid w:val="00F42CB1"/>
    <w:rsid w:val="00F42F32"/>
    <w:rsid w:val="00F435AE"/>
    <w:rsid w:val="00F43674"/>
    <w:rsid w:val="00F447C0"/>
    <w:rsid w:val="00F450D9"/>
    <w:rsid w:val="00F46F32"/>
    <w:rsid w:val="00F500FD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376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466A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9D8-709B-46CC-A008-21A3E54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26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333</cp:lastModifiedBy>
  <cp:revision>25</cp:revision>
  <cp:lastPrinted>2019-08-09T07:03:00Z</cp:lastPrinted>
  <dcterms:created xsi:type="dcterms:W3CDTF">2019-02-11T07:03:00Z</dcterms:created>
  <dcterms:modified xsi:type="dcterms:W3CDTF">2019-08-09T07:32:00Z</dcterms:modified>
</cp:coreProperties>
</file>